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4919"/>
        <w:gridCol w:w="4057"/>
      </w:tblGrid>
      <w:tr w:rsidR="00D07D01" w:rsidRPr="009C3D5A" w:rsidTr="00820484">
        <w:trPr>
          <w:trHeight w:val="915"/>
        </w:trPr>
        <w:tc>
          <w:tcPr>
            <w:tcW w:w="5644" w:type="dxa"/>
            <w:vAlign w:val="center"/>
          </w:tcPr>
          <w:p w:rsidR="00D07D01" w:rsidRPr="009C3D5A" w:rsidRDefault="00197079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230A29"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  <w:r w:rsidR="00FD0625">
              <w:rPr>
                <w:rFonts w:asciiTheme="majorHAnsi" w:eastAsiaTheme="majorEastAsia" w:hAnsiTheme="majorHAnsi" w:cstheme="majorBidi"/>
                <w:sz w:val="36"/>
                <w:szCs w:val="36"/>
              </w:rPr>
              <w:t>ŞUBAT</w:t>
            </w:r>
          </w:p>
          <w:p w:rsidR="00D07D01" w:rsidRPr="009C3D5A" w:rsidRDefault="00D07D01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>DIŞ TİCARET BÜLTENİ</w:t>
            </w:r>
          </w:p>
        </w:tc>
        <w:tc>
          <w:tcPr>
            <w:tcW w:w="4678" w:type="dxa"/>
          </w:tcPr>
          <w:p w:rsidR="00D07D01" w:rsidRPr="009C3D5A" w:rsidRDefault="00FD0625" w:rsidP="00FD0625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29Mart</w:t>
            </w:r>
            <w:r w:rsidR="009C3D5A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230A29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9</w:t>
            </w:r>
            <w:r w:rsidR="00D07D01" w:rsidRPr="009C3D5A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D01" w:rsidRPr="009C3D5A" w:rsidRDefault="00D07D01" w:rsidP="00D07D01">
      <w:pPr>
        <w:pStyle w:val="stbilgi"/>
      </w:pPr>
    </w:p>
    <w:p w:rsidR="00D07D01" w:rsidRPr="009C3D5A" w:rsidRDefault="00FD0625" w:rsidP="008B246F">
      <w:pPr>
        <w:jc w:val="both"/>
        <w:rPr>
          <w:b/>
        </w:rPr>
      </w:pPr>
      <w:r>
        <w:rPr>
          <w:b/>
        </w:rPr>
        <w:t>Şubat</w:t>
      </w:r>
      <w:r w:rsidR="00D07D01" w:rsidRPr="009C3D5A">
        <w:rPr>
          <w:b/>
        </w:rPr>
        <w:t xml:space="preserve"> 201</w:t>
      </w:r>
      <w:r w:rsidR="00230A29">
        <w:rPr>
          <w:b/>
        </w:rPr>
        <w:t>9</w:t>
      </w:r>
      <w:r w:rsidR="00447D93">
        <w:rPr>
          <w:b/>
        </w:rPr>
        <w:t xml:space="preserve"> d</w:t>
      </w:r>
      <w:r w:rsidR="00D07D01" w:rsidRPr="009C3D5A">
        <w:rPr>
          <w:b/>
        </w:rPr>
        <w:t>ış ticaret istatistiklerine ilişkin veriler Türkiye İstati</w:t>
      </w:r>
      <w:r w:rsidR="008974F5">
        <w:rPr>
          <w:b/>
        </w:rPr>
        <w:t>stik Kurumu (TÜİK) tarafından 2</w:t>
      </w:r>
      <w:r>
        <w:rPr>
          <w:b/>
        </w:rPr>
        <w:t>9 Mart</w:t>
      </w:r>
      <w:r w:rsidR="00D07D01" w:rsidRPr="009C3D5A">
        <w:rPr>
          <w:b/>
        </w:rPr>
        <w:t xml:space="preserve"> 201</w:t>
      </w:r>
      <w:r w:rsidR="00230A29">
        <w:rPr>
          <w:b/>
        </w:rPr>
        <w:t>9</w:t>
      </w:r>
      <w:r w:rsidR="00D07D01" w:rsidRPr="009C3D5A">
        <w:rPr>
          <w:b/>
        </w:rPr>
        <w:t xml:space="preserve"> tarihinde yayımlandı.</w:t>
      </w:r>
    </w:p>
    <w:p w:rsidR="00F43AC2" w:rsidRPr="009C3D5A" w:rsidRDefault="00F43AC2" w:rsidP="008B246F">
      <w:pPr>
        <w:jc w:val="both"/>
      </w:pPr>
      <w:r w:rsidRPr="009C3D5A">
        <w:t>TÜİK</w:t>
      </w:r>
      <w:r w:rsidR="004D49AB">
        <w:t>,</w:t>
      </w:r>
      <w:r w:rsidR="00134344" w:rsidRPr="009C3D5A">
        <w:t xml:space="preserve">Gümrük ve Ticaret Bakanlığı işbirliği ile hazırladığı dış ticaret verilerini aylık olarak yayınlamaktadır. </w:t>
      </w:r>
    </w:p>
    <w:p w:rsidR="00764636" w:rsidRPr="009C3D5A" w:rsidRDefault="00FD0625" w:rsidP="008B246F">
      <w:pPr>
        <w:jc w:val="both"/>
      </w:pPr>
      <w:r>
        <w:t>Şubat</w:t>
      </w:r>
      <w:r w:rsidR="00764636" w:rsidRPr="009C3D5A">
        <w:t xml:space="preserve"> ayında Türkiye’nin </w:t>
      </w:r>
      <w:r w:rsidR="00672626" w:rsidRPr="009C3D5A">
        <w:t>ihracatı</w:t>
      </w:r>
      <w:r w:rsidR="007C538F">
        <w:t>,</w:t>
      </w:r>
      <w:r w:rsidR="00764636" w:rsidRPr="009C3D5A">
        <w:t>bir önceki yılın aynı ayına göre yü</w:t>
      </w:r>
      <w:r w:rsidR="00DB20D7">
        <w:t xml:space="preserve">zde </w:t>
      </w:r>
      <w:r>
        <w:t>3,4</w:t>
      </w:r>
      <w:r w:rsidR="00F41830">
        <w:t xml:space="preserve"> artarak 13</w:t>
      </w:r>
      <w:r w:rsidR="00764636" w:rsidRPr="009C3D5A">
        <w:t xml:space="preserve"> milyar</w:t>
      </w:r>
      <w:r>
        <w:t>593</w:t>
      </w:r>
      <w:r w:rsidR="00676E49">
        <w:t xml:space="preserve"> milyon</w:t>
      </w:r>
      <w:r w:rsidR="00207511">
        <w:t xml:space="preserve"> dolar oldu</w:t>
      </w:r>
      <w:r w:rsidR="00764636" w:rsidRPr="009C3D5A">
        <w:t xml:space="preserve">. </w:t>
      </w:r>
      <w:r>
        <w:t>Şubat</w:t>
      </w:r>
      <w:r w:rsidR="002157EE" w:rsidRPr="009C3D5A">
        <w:t xml:space="preserve"> ayı </w:t>
      </w:r>
      <w:r w:rsidR="000E09A3">
        <w:t>ithalatı</w:t>
      </w:r>
      <w:r w:rsidR="00BC0061">
        <w:t>,</w:t>
      </w:r>
      <w:r w:rsidR="00DB20D7">
        <w:t xml:space="preserve"> bir önceki </w:t>
      </w:r>
      <w:r w:rsidR="000E09A3">
        <w:t>yılın aynı ayına</w:t>
      </w:r>
      <w:r w:rsidR="00DB20D7">
        <w:t xml:space="preserve"> göre</w:t>
      </w:r>
      <w:r w:rsidR="002157EE" w:rsidRPr="009C3D5A">
        <w:t xml:space="preserve"> yüzde </w:t>
      </w:r>
      <w:r>
        <w:t>16,9</w:t>
      </w:r>
      <w:r w:rsidR="00F41830">
        <w:t xml:space="preserve"> azala</w:t>
      </w:r>
      <w:r w:rsidR="005C02CC">
        <w:t xml:space="preserve">rak </w:t>
      </w:r>
      <w:r w:rsidR="008974F5">
        <w:t>1</w:t>
      </w:r>
      <w:r w:rsidR="00F41830">
        <w:t>5</w:t>
      </w:r>
      <w:r w:rsidR="00DB20D7">
        <w:t xml:space="preserve"> milyar</w:t>
      </w:r>
      <w:r>
        <w:t>727</w:t>
      </w:r>
      <w:r w:rsidR="00676E49">
        <w:t xml:space="preserve"> milyon</w:t>
      </w:r>
      <w:r w:rsidR="00DB20D7">
        <w:t xml:space="preserve"> dolar </w:t>
      </w:r>
      <w:r w:rsidR="00207511">
        <w:t>olarak gerçekleşti</w:t>
      </w:r>
      <w:r w:rsidR="002157EE" w:rsidRPr="009C3D5A">
        <w:t>.</w:t>
      </w:r>
      <w:r w:rsidR="00540D42">
        <w:t xml:space="preserve">Buna göre </w:t>
      </w:r>
      <w:r>
        <w:t>Şubat</w:t>
      </w:r>
      <w:r w:rsidR="00DB20D7">
        <w:t xml:space="preserve"> ayı dış ticaret açığı,</w:t>
      </w:r>
      <w:r w:rsidR="008B246F" w:rsidRPr="009C3D5A">
        <w:t xml:space="preserve"> yüzde </w:t>
      </w:r>
      <w:r>
        <w:t>63,1</w:t>
      </w:r>
      <w:r w:rsidR="00F41830">
        <w:t>azalarak</w:t>
      </w:r>
      <w:r w:rsidR="00CB7E27">
        <w:t xml:space="preserve"> </w:t>
      </w:r>
      <w:r w:rsidR="00F41830">
        <w:t>2</w:t>
      </w:r>
      <w:r w:rsidR="00024E59" w:rsidRPr="009C3D5A">
        <w:t xml:space="preserve"> milyar </w:t>
      </w:r>
      <w:r>
        <w:t>1</w:t>
      </w:r>
      <w:r w:rsidR="00F41830">
        <w:t>3</w:t>
      </w:r>
      <w:r>
        <w:t>4</w:t>
      </w:r>
      <w:r w:rsidR="00DB20D7">
        <w:t xml:space="preserve"> milyon dolar</w:t>
      </w:r>
      <w:r w:rsidR="00676E49">
        <w:t xml:space="preserve">a </w:t>
      </w:r>
      <w:r w:rsidR="00F41830">
        <w:t>geriledi</w:t>
      </w:r>
      <w:r w:rsidR="00676E49">
        <w:t xml:space="preserve">. </w:t>
      </w:r>
      <w:r w:rsidR="00F41830">
        <w:t>2018</w:t>
      </w:r>
      <w:r>
        <w:t>Şubat</w:t>
      </w:r>
      <w:r w:rsidR="00540D42">
        <w:t xml:space="preserve"> ayında yüzde </w:t>
      </w:r>
      <w:r>
        <w:t>69,4</w:t>
      </w:r>
      <w:r w:rsidR="0023568E">
        <w:t>olan ihracatın itha</w:t>
      </w:r>
      <w:r w:rsidR="00CA6A1E">
        <w:t xml:space="preserve">latı karşılama oranı ise </w:t>
      </w:r>
      <w:r w:rsidR="00F41830">
        <w:t>2019</w:t>
      </w:r>
      <w:r>
        <w:t>Şubat</w:t>
      </w:r>
      <w:r w:rsidR="00047A3E">
        <w:t xml:space="preserve"> ayında yüzde </w:t>
      </w:r>
      <w:r>
        <w:t>86,4</w:t>
      </w:r>
      <w:r w:rsidR="00540D42">
        <w:t>’</w:t>
      </w:r>
      <w:r w:rsidR="00F41830">
        <w:t>eyükseldi</w:t>
      </w:r>
      <w:r w:rsidR="0023568E">
        <w:t>.</w:t>
      </w:r>
    </w:p>
    <w:p w:rsidR="00E20164" w:rsidRPr="009C3D5A" w:rsidRDefault="00F43AC2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Şekil 1: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Aylara göre </w:t>
      </w:r>
      <w:r w:rsidR="00B861B5">
        <w:rPr>
          <w:rFonts w:eastAsia="Times New Roman" w:cs="Times New Roman"/>
          <w:b/>
          <w:bCs/>
          <w:kern w:val="36"/>
          <w:sz w:val="24"/>
          <w:szCs w:val="24"/>
        </w:rPr>
        <w:t>ihracat, milyar</w:t>
      </w:r>
      <w:r w:rsidR="005D6CB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197079">
        <w:rPr>
          <w:rFonts w:eastAsia="Times New Roman" w:cs="Times New Roman"/>
          <w:b/>
          <w:bCs/>
          <w:kern w:val="36"/>
          <w:sz w:val="24"/>
          <w:szCs w:val="24"/>
        </w:rPr>
        <w:t xml:space="preserve"> (201</w:t>
      </w:r>
      <w:r w:rsidR="00F41830">
        <w:rPr>
          <w:rFonts w:eastAsia="Times New Roman" w:cs="Times New Roman"/>
          <w:b/>
          <w:bCs/>
          <w:kern w:val="36"/>
          <w:sz w:val="24"/>
          <w:szCs w:val="24"/>
        </w:rPr>
        <w:t>8-2019</w:t>
      </w:r>
      <w:r w:rsidR="00981AD3">
        <w:rPr>
          <w:rFonts w:eastAsia="Times New Roman" w:cs="Times New Roman"/>
          <w:b/>
          <w:bCs/>
          <w:kern w:val="36"/>
          <w:sz w:val="24"/>
          <w:szCs w:val="24"/>
        </w:rPr>
        <w:t xml:space="preserve"> Ocak-Aralık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BB3701" w:rsidRPr="009C3D5A" w:rsidRDefault="00FD0625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>
            <wp:extent cx="5779008" cy="1389888"/>
            <wp:effectExtent l="0" t="0" r="0" b="127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62888" w:rsidRPr="008D17ED" w:rsidRDefault="005D6CB6" w:rsidP="00A62888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A62888" w:rsidRPr="009C3D5A" w:rsidRDefault="00A62888" w:rsidP="00A62888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867C71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2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: Aylara göre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ithalat, milyar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F41830">
        <w:rPr>
          <w:rFonts w:eastAsia="Times New Roman" w:cs="Times New Roman"/>
          <w:b/>
          <w:bCs/>
          <w:kern w:val="36"/>
          <w:sz w:val="24"/>
          <w:szCs w:val="24"/>
        </w:rPr>
        <w:t xml:space="preserve"> (2018-2019</w:t>
      </w:r>
      <w:r w:rsidR="000174DC">
        <w:rPr>
          <w:rFonts w:eastAsia="Times New Roman" w:cs="Times New Roman"/>
          <w:b/>
          <w:bCs/>
          <w:kern w:val="36"/>
          <w:sz w:val="24"/>
          <w:szCs w:val="24"/>
        </w:rPr>
        <w:t xml:space="preserve"> Ocak-</w:t>
      </w:r>
      <w:r w:rsidR="00981AD3">
        <w:rPr>
          <w:rFonts w:eastAsia="Times New Roman" w:cs="Times New Roman"/>
          <w:b/>
          <w:bCs/>
          <w:kern w:val="36"/>
          <w:sz w:val="24"/>
          <w:szCs w:val="24"/>
        </w:rPr>
        <w:t>Aralık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A01B59" w:rsidRDefault="00FD0625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>
            <wp:extent cx="5778500" cy="1450848"/>
            <wp:effectExtent l="0" t="0" r="0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359A" w:rsidRDefault="00DB359A" w:rsidP="00DB359A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913A90" w:rsidRDefault="00913A90" w:rsidP="00CE7503">
      <w:pPr>
        <w:spacing w:after="0" w:line="240" w:lineRule="auto"/>
      </w:pPr>
    </w:p>
    <w:p w:rsidR="00913A90" w:rsidRDefault="00E86C2E" w:rsidP="00CE7503">
      <w:pPr>
        <w:spacing w:after="0" w:line="240" w:lineRule="auto"/>
      </w:pPr>
      <w:r w:rsidRPr="00E86C2E">
        <w:t>İhracat rakamları</w:t>
      </w:r>
      <w:r w:rsidR="00CA6A1E">
        <w:t xml:space="preserve"> 201</w:t>
      </w:r>
      <w:r w:rsidR="0001649F">
        <w:t>9</w:t>
      </w:r>
      <w:r w:rsidR="00CA6A1E">
        <w:t xml:space="preserve">’in </w:t>
      </w:r>
      <w:r w:rsidR="009E61C5">
        <w:t>ikinci</w:t>
      </w:r>
      <w:r w:rsidR="00CA6A1E">
        <w:t xml:space="preserve"> ayında b</w:t>
      </w:r>
      <w:r>
        <w:t xml:space="preserve">ir önceki aya göre </w:t>
      </w:r>
      <w:r w:rsidR="00E0516C">
        <w:t>yüzde</w:t>
      </w:r>
      <w:r w:rsidR="009E61C5">
        <w:t>3,1</w:t>
      </w:r>
      <w:r w:rsidR="000C0786">
        <w:t>a</w:t>
      </w:r>
      <w:r w:rsidR="009E61C5">
        <w:t>rtış</w:t>
      </w:r>
      <w:r>
        <w:t>; bir önceki yı</w:t>
      </w:r>
      <w:r w:rsidR="00E0516C">
        <w:t>lın aynı ayına göre ise yüzde</w:t>
      </w:r>
      <w:r w:rsidR="009E61C5">
        <w:t>3,4</w:t>
      </w:r>
      <w:r w:rsidR="00BC0061">
        <w:t xml:space="preserve"> artış</w:t>
      </w:r>
      <w:r>
        <w:t xml:space="preserve"> göster</w:t>
      </w:r>
      <w:r w:rsidR="00E07B1A">
        <w:t>irken, 13,</w:t>
      </w:r>
      <w:r w:rsidR="009E61C5">
        <w:t>6</w:t>
      </w:r>
      <w:r w:rsidR="00E0516C">
        <w:t xml:space="preserve"> milyar dolar</w:t>
      </w:r>
      <w:r w:rsidR="00207511">
        <w:t xml:space="preserve"> olarak gerçekleş</w:t>
      </w:r>
      <w:r w:rsidR="00E0516C">
        <w:t>ti.</w:t>
      </w:r>
      <w:r w:rsidR="00E07B1A">
        <w:t>2019</w:t>
      </w:r>
      <w:r w:rsidR="00DB359A">
        <w:t xml:space="preserve"> yılına düş</w:t>
      </w:r>
      <w:r>
        <w:t xml:space="preserve">üşle başlayan ithalat rakamları </w:t>
      </w:r>
      <w:r w:rsidR="009E61C5">
        <w:t>2019Ocak</w:t>
      </w:r>
      <w:r w:rsidR="000174DC">
        <w:t xml:space="preserve">ayında </w:t>
      </w:r>
      <w:r w:rsidR="009E61C5">
        <w:t>15,7</w:t>
      </w:r>
      <w:r w:rsidR="00DB359A" w:rsidRPr="009C3D5A">
        <w:t xml:space="preserve"> milyar dolar olan </w:t>
      </w:r>
      <w:r w:rsidR="00CA6A1E">
        <w:t>iken</w:t>
      </w:r>
      <w:r w:rsidR="00DB359A">
        <w:t>,</w:t>
      </w:r>
      <w:r w:rsidR="00321EBC">
        <w:t>2019</w:t>
      </w:r>
      <w:r w:rsidR="009E61C5">
        <w:t xml:space="preserve">Şubat </w:t>
      </w:r>
      <w:r w:rsidR="00CA6A1E">
        <w:t>ayında</w:t>
      </w:r>
      <w:r w:rsidR="009E61C5">
        <w:t xml:space="preserve"> da aynı seviyede seyretti.</w:t>
      </w:r>
    </w:p>
    <w:p w:rsidR="005F16FA" w:rsidRDefault="005F16FA" w:rsidP="00CE7503">
      <w:pPr>
        <w:spacing w:after="0" w:line="240" w:lineRule="auto"/>
      </w:pPr>
    </w:p>
    <w:p w:rsidR="005F16FA" w:rsidRDefault="005F16FA" w:rsidP="00CE7503">
      <w:pPr>
        <w:spacing w:after="0" w:line="240" w:lineRule="auto"/>
      </w:pPr>
    </w:p>
    <w:p w:rsidR="005F16FA" w:rsidRDefault="005F16FA" w:rsidP="00CE7503">
      <w:pPr>
        <w:spacing w:after="0" w:line="240" w:lineRule="auto"/>
      </w:pPr>
    </w:p>
    <w:p w:rsidR="005F16FA" w:rsidRDefault="005F16FA" w:rsidP="00CE7503">
      <w:pPr>
        <w:spacing w:after="0" w:line="240" w:lineRule="auto"/>
      </w:pPr>
    </w:p>
    <w:p w:rsidR="005F16FA" w:rsidRDefault="005F16FA" w:rsidP="00CE7503">
      <w:pPr>
        <w:spacing w:after="0" w:line="240" w:lineRule="auto"/>
      </w:pPr>
    </w:p>
    <w:p w:rsidR="005F16FA" w:rsidRDefault="005F16FA" w:rsidP="00CE7503">
      <w:pPr>
        <w:spacing w:after="0" w:line="240" w:lineRule="auto"/>
      </w:pPr>
    </w:p>
    <w:p w:rsidR="005F16FA" w:rsidRDefault="005F16FA" w:rsidP="00CE7503">
      <w:pPr>
        <w:spacing w:after="0" w:line="240" w:lineRule="auto"/>
      </w:pPr>
    </w:p>
    <w:p w:rsidR="005F16FA" w:rsidRPr="00CA6A1E" w:rsidRDefault="005F16FA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14"/>
          <w:szCs w:val="24"/>
        </w:rPr>
      </w:pPr>
    </w:p>
    <w:p w:rsidR="00501781" w:rsidRDefault="00E86C2E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lastRenderedPageBreak/>
        <w:t>Şekil 3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:Ülkelere göre</w:t>
      </w:r>
      <w:r w:rsidR="00321EBC">
        <w:rPr>
          <w:rFonts w:eastAsia="Times New Roman" w:cs="Times New Roman"/>
          <w:b/>
          <w:bCs/>
          <w:kern w:val="36"/>
          <w:sz w:val="24"/>
          <w:szCs w:val="24"/>
        </w:rPr>
        <w:t xml:space="preserve"> dış ticaret, $  (2019</w:t>
      </w:r>
      <w:r w:rsidR="009E61C5">
        <w:rPr>
          <w:rFonts w:eastAsia="Times New Roman" w:cs="Times New Roman"/>
          <w:b/>
          <w:bCs/>
          <w:kern w:val="36"/>
          <w:sz w:val="24"/>
          <w:szCs w:val="24"/>
        </w:rPr>
        <w:t>Şubat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318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2"/>
        <w:gridCol w:w="1019"/>
        <w:gridCol w:w="1608"/>
      </w:tblGrid>
      <w:tr w:rsidR="00587E0B" w:rsidRPr="00587E0B" w:rsidTr="00321EBC">
        <w:trPr>
          <w:trHeight w:val="119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101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Ülke adı</w:t>
            </w:r>
          </w:p>
        </w:tc>
        <w:tc>
          <w:tcPr>
            <w:tcW w:w="160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321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İhracat</w:t>
            </w:r>
          </w:p>
        </w:tc>
      </w:tr>
      <w:tr w:rsidR="009E61C5" w:rsidRPr="00587E0B" w:rsidTr="00321EBC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Almanya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1.224.956.133</w:t>
            </w:r>
          </w:p>
        </w:tc>
      </w:tr>
      <w:tr w:rsidR="009E61C5" w:rsidRPr="00587E0B" w:rsidTr="00321EBC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 Krallık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857.224.832</w:t>
            </w:r>
          </w:p>
        </w:tc>
      </w:tr>
      <w:tr w:rsidR="009E61C5" w:rsidRPr="00587E0B" w:rsidTr="00321EBC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İtalya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815.036.543</w:t>
            </w:r>
          </w:p>
        </w:tc>
      </w:tr>
      <w:tr w:rsidR="009E61C5" w:rsidRPr="00587E0B" w:rsidTr="00321EBC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İspanya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741.111.545</w:t>
            </w:r>
          </w:p>
        </w:tc>
      </w:tr>
      <w:tr w:rsidR="009E61C5" w:rsidRPr="00587E0B" w:rsidTr="00321EBC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657.639.077</w:t>
            </w:r>
          </w:p>
        </w:tc>
      </w:tr>
      <w:tr w:rsidR="009E61C5" w:rsidRPr="00587E0B" w:rsidTr="00321EBC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ABD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611.789.504</w:t>
            </w:r>
          </w:p>
        </w:tc>
      </w:tr>
      <w:tr w:rsidR="009E61C5" w:rsidRPr="00587E0B" w:rsidTr="00321EBC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Fransa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578.158.908</w:t>
            </w:r>
          </w:p>
        </w:tc>
      </w:tr>
      <w:tr w:rsidR="009E61C5" w:rsidRPr="00587E0B" w:rsidTr="00321EBC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Hollanda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411.533.820</w:t>
            </w:r>
          </w:p>
        </w:tc>
      </w:tr>
      <w:tr w:rsidR="009E61C5" w:rsidRPr="00587E0B" w:rsidTr="00321EBC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İsrail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345.547.871</w:t>
            </w:r>
          </w:p>
        </w:tc>
      </w:tr>
      <w:tr w:rsidR="009E61C5" w:rsidRPr="00587E0B" w:rsidTr="00321EBC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Romanya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322.184.164</w:t>
            </w:r>
          </w:p>
        </w:tc>
      </w:tr>
    </w:tbl>
    <w:tbl>
      <w:tblPr>
        <w:tblpPr w:leftFromText="141" w:rightFromText="141" w:vertAnchor="text" w:horzAnchor="page" w:tblpX="5167" w:tblpY="-4440"/>
        <w:tblW w:w="3379" w:type="dxa"/>
        <w:tblCellMar>
          <w:left w:w="70" w:type="dxa"/>
          <w:right w:w="70" w:type="dxa"/>
        </w:tblCellMar>
        <w:tblLook w:val="04A0"/>
      </w:tblPr>
      <w:tblGrid>
        <w:gridCol w:w="724"/>
        <w:gridCol w:w="1047"/>
        <w:gridCol w:w="1608"/>
      </w:tblGrid>
      <w:tr w:rsidR="00913A90" w:rsidRPr="00587E0B" w:rsidTr="00321EBC">
        <w:trPr>
          <w:trHeight w:val="2"/>
        </w:trPr>
        <w:tc>
          <w:tcPr>
            <w:tcW w:w="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321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104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321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Ülke adı</w:t>
            </w:r>
          </w:p>
        </w:tc>
        <w:tc>
          <w:tcPr>
            <w:tcW w:w="160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321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İthalat</w:t>
            </w:r>
          </w:p>
        </w:tc>
      </w:tr>
      <w:tr w:rsidR="009E61C5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Rusya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1.576.957.278</w:t>
            </w:r>
          </w:p>
        </w:tc>
      </w:tr>
      <w:tr w:rsidR="009E61C5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Gizli Ülke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1.372.189.440</w:t>
            </w:r>
          </w:p>
        </w:tc>
      </w:tr>
      <w:tr w:rsidR="009E61C5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Çin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1.371.232.685</w:t>
            </w:r>
          </w:p>
        </w:tc>
      </w:tr>
      <w:tr w:rsidR="009E61C5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Almanya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1.347.310.721</w:t>
            </w:r>
          </w:p>
        </w:tc>
      </w:tr>
      <w:tr w:rsidR="009E61C5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ABD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842.001.548</w:t>
            </w:r>
          </w:p>
        </w:tc>
      </w:tr>
      <w:tr w:rsidR="009E61C5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G. Kore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667.051.284</w:t>
            </w:r>
          </w:p>
        </w:tc>
      </w:tr>
      <w:tr w:rsidR="009E61C5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İtalya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597.905.432</w:t>
            </w:r>
          </w:p>
        </w:tc>
      </w:tr>
      <w:tr w:rsidR="009E61C5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Hindistan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491.490.704</w:t>
            </w:r>
          </w:p>
        </w:tc>
      </w:tr>
      <w:tr w:rsidR="009E61C5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İran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466.113.357</w:t>
            </w:r>
          </w:p>
        </w:tc>
      </w:tr>
      <w:tr w:rsidR="009E61C5" w:rsidRPr="00587E0B" w:rsidTr="00321EBC">
        <w:trPr>
          <w:trHeight w:val="7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587E0B" w:rsidRDefault="009E61C5" w:rsidP="009E6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Fransa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441.726.765</w:t>
            </w:r>
          </w:p>
        </w:tc>
      </w:tr>
    </w:tbl>
    <w:p w:rsidR="00501781" w:rsidRPr="00207D30" w:rsidRDefault="00CE7503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60716F" w:rsidRPr="009C3D5A" w:rsidRDefault="0060716F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913A90" w:rsidRDefault="008D17ED" w:rsidP="00CD72A5">
      <w:pPr>
        <w:jc w:val="both"/>
        <w:rPr>
          <w:rFonts w:eastAsia="Times New Roman" w:cs="Times New Roman"/>
          <w:b/>
          <w:bCs/>
          <w:kern w:val="36"/>
          <w:sz w:val="24"/>
          <w:szCs w:val="24"/>
        </w:rPr>
      </w:pPr>
      <w:r>
        <w:t xml:space="preserve">Türkiye, </w:t>
      </w:r>
      <w:r w:rsidR="00CC376F" w:rsidRPr="009C3D5A">
        <w:t>201</w:t>
      </w:r>
      <w:r w:rsidR="008262AB">
        <w:t>9</w:t>
      </w:r>
      <w:r w:rsidR="008E61FA">
        <w:t>Şubat</w:t>
      </w:r>
      <w:r>
        <w:t>ayında</w:t>
      </w:r>
      <w:r w:rsidR="00955246" w:rsidRPr="009C3D5A">
        <w:t xml:space="preserve"> en fazla ihracatı</w:t>
      </w:r>
      <w:r w:rsidR="00501781">
        <w:t xml:space="preserve"> Almanya’ya yapmıştır. 1</w:t>
      </w:r>
      <w:r w:rsidR="008E61FA">
        <w:t>,22</w:t>
      </w:r>
      <w:r w:rsidR="00CC376F" w:rsidRPr="009C3D5A">
        <w:t xml:space="preserve"> milyar dolarlık ihracat</w:t>
      </w:r>
      <w:r w:rsidR="00955246" w:rsidRPr="009C3D5A">
        <w:t xml:space="preserve"> ile </w:t>
      </w:r>
      <w:r w:rsidR="00CC376F" w:rsidRPr="009C3D5A">
        <w:t>Almanya</w:t>
      </w:r>
      <w:r w:rsidR="00955246" w:rsidRPr="009C3D5A">
        <w:t xml:space="preserve"> birinci sırada yer alırken</w:t>
      </w:r>
      <w:r w:rsidR="006D5432" w:rsidRPr="009C3D5A">
        <w:t xml:space="preserve"> Almanya’yı</w:t>
      </w:r>
      <w:r w:rsidR="00955246" w:rsidRPr="009C3D5A">
        <w:t xml:space="preserve"> sırası ile</w:t>
      </w:r>
      <w:r w:rsidR="008E61FA">
        <w:t>857,2</w:t>
      </w:r>
      <w:r w:rsidR="00E50701">
        <w:t>milyon</w:t>
      </w:r>
      <w:r w:rsidR="006E7CD2" w:rsidRPr="009C3D5A">
        <w:t xml:space="preserve"> dolar ile</w:t>
      </w:r>
      <w:r w:rsidR="008262AB">
        <w:t>B. Krallık</w:t>
      </w:r>
      <w:r w:rsidR="00955246" w:rsidRPr="009C3D5A">
        <w:t xml:space="preserve">, </w:t>
      </w:r>
      <w:r w:rsidR="008E61FA">
        <w:t>815</w:t>
      </w:r>
      <w:r w:rsidR="00501781">
        <w:t>milyon</w:t>
      </w:r>
      <w:r w:rsidR="006E7CD2" w:rsidRPr="009C3D5A">
        <w:t xml:space="preserve"> dolar ile </w:t>
      </w:r>
      <w:r w:rsidR="00587E0B">
        <w:t>İtalya</w:t>
      </w:r>
      <w:r w:rsidR="00955246" w:rsidRPr="009C3D5A">
        <w:t xml:space="preserve"> ve</w:t>
      </w:r>
      <w:r w:rsidR="008E61FA">
        <w:t>741,1</w:t>
      </w:r>
      <w:r w:rsidR="00501781">
        <w:t xml:space="preserve"> milyon</w:t>
      </w:r>
      <w:r w:rsidR="006E7CD2" w:rsidRPr="009C3D5A">
        <w:t xml:space="preserve"> dolar ile</w:t>
      </w:r>
      <w:r w:rsidR="008E61FA">
        <w:t>İspanya</w:t>
      </w:r>
      <w:r w:rsidR="00955246" w:rsidRPr="009C3D5A">
        <w:t>takip etmektedir. İth</w:t>
      </w:r>
      <w:r w:rsidR="00587E0B">
        <w:t>alatta i</w:t>
      </w:r>
      <w:r w:rsidR="006006DA">
        <w:t xml:space="preserve">se </w:t>
      </w:r>
      <w:r w:rsidR="008262AB">
        <w:t>Rusya</w:t>
      </w:r>
      <w:r w:rsidR="006006DA">
        <w:t xml:space="preserve"> lider konumdadır.</w:t>
      </w:r>
      <w:r w:rsidR="008262AB">
        <w:t xml:space="preserve"> Türkiye’nin 2019</w:t>
      </w:r>
      <w:r w:rsidR="008E61FA">
        <w:t>Şubat</w:t>
      </w:r>
      <w:r w:rsidR="00587E0B">
        <w:t xml:space="preserve">ayında </w:t>
      </w:r>
      <w:r w:rsidR="008262AB">
        <w:t>Rusya’da</w:t>
      </w:r>
      <w:r w:rsidR="00CA6A1E">
        <w:t>n</w:t>
      </w:r>
      <w:r w:rsidR="00955246" w:rsidRPr="009C3D5A">
        <w:t xml:space="preserve"> yaptığı ithalat </w:t>
      </w:r>
      <w:r w:rsidR="008E61FA">
        <w:t>1,58</w:t>
      </w:r>
      <w:r w:rsidR="00955246" w:rsidRPr="009C3D5A">
        <w:t xml:space="preserve"> milyar dolar olup </w:t>
      </w:r>
      <w:r w:rsidR="008262AB">
        <w:t>Rusya’yı</w:t>
      </w:r>
      <w:r w:rsidR="00955246" w:rsidRPr="009C3D5A">
        <w:t xml:space="preserve"> sırası ile </w:t>
      </w:r>
      <w:r w:rsidR="008262AB">
        <w:t>1</w:t>
      </w:r>
      <w:r w:rsidR="006D5432" w:rsidRPr="009C3D5A">
        <w:t>,</w:t>
      </w:r>
      <w:r w:rsidR="008262AB">
        <w:t>3</w:t>
      </w:r>
      <w:r w:rsidR="008E61FA">
        <w:t>7</w:t>
      </w:r>
      <w:r w:rsidR="003D0EA9" w:rsidRPr="009C3D5A">
        <w:t xml:space="preserve"> milyar dolar ile </w:t>
      </w:r>
      <w:r w:rsidR="008262AB">
        <w:t>gizli ülke verisi</w:t>
      </w:r>
      <w:r w:rsidR="00955246" w:rsidRPr="009C3D5A">
        <w:t xml:space="preserve">, </w:t>
      </w:r>
      <w:r w:rsidR="006D5432" w:rsidRPr="009C3D5A">
        <w:t>1,</w:t>
      </w:r>
      <w:r w:rsidR="008E61FA">
        <w:t>37</w:t>
      </w:r>
      <w:r w:rsidR="003D0EA9" w:rsidRPr="009C3D5A">
        <w:t xml:space="preserve"> milyar dolar ile </w:t>
      </w:r>
      <w:r w:rsidR="008262AB">
        <w:t>Çin</w:t>
      </w:r>
      <w:r w:rsidR="00E50701">
        <w:t xml:space="preserve"> ve </w:t>
      </w:r>
      <w:r w:rsidR="008262AB">
        <w:t>1,</w:t>
      </w:r>
      <w:r w:rsidR="008E61FA">
        <w:t>35</w:t>
      </w:r>
      <w:r w:rsidR="00DA7CF5">
        <w:t xml:space="preserve"> milyar</w:t>
      </w:r>
      <w:r w:rsidR="003D0EA9" w:rsidRPr="009C3D5A">
        <w:t xml:space="preserve"> dolar ile </w:t>
      </w:r>
      <w:r w:rsidR="009E6845">
        <w:t>A</w:t>
      </w:r>
      <w:r w:rsidR="008262AB">
        <w:t>lmanya</w:t>
      </w:r>
      <w:r w:rsidR="00955246" w:rsidRPr="009C3D5A">
        <w:t xml:space="preserve">takip etmektedir. </w:t>
      </w:r>
    </w:p>
    <w:p w:rsidR="00314CD6" w:rsidRDefault="00D074EA" w:rsidP="00314CD6">
      <w:pPr>
        <w:spacing w:after="0" w:line="240" w:lineRule="auto"/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4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 w:rsidR="00284EE7">
        <w:rPr>
          <w:rFonts w:eastAsia="Times New Roman" w:cs="Times New Roman"/>
          <w:b/>
          <w:bCs/>
          <w:kern w:val="36"/>
          <w:sz w:val="24"/>
          <w:szCs w:val="24"/>
        </w:rPr>
        <w:t xml:space="preserve">SITC Rev3 sınıflamasına göre </w:t>
      </w:r>
      <w:r w:rsidR="00207511">
        <w:rPr>
          <w:rFonts w:eastAsia="Times New Roman" w:cs="Times New Roman"/>
          <w:b/>
          <w:bCs/>
          <w:kern w:val="36"/>
          <w:sz w:val="24"/>
          <w:szCs w:val="24"/>
        </w:rPr>
        <w:t>dış ticaret, $  (</w:t>
      </w:r>
      <w:r w:rsidR="0001649F">
        <w:rPr>
          <w:rFonts w:eastAsia="Times New Roman" w:cs="Times New Roman"/>
          <w:b/>
          <w:bCs/>
          <w:kern w:val="36"/>
          <w:sz w:val="24"/>
          <w:szCs w:val="24"/>
        </w:rPr>
        <w:t>2019</w:t>
      </w:r>
      <w:r w:rsidR="009E61C5">
        <w:rPr>
          <w:rFonts w:eastAsia="Times New Roman" w:cs="Times New Roman"/>
          <w:b/>
          <w:bCs/>
          <w:kern w:val="36"/>
          <w:sz w:val="24"/>
          <w:szCs w:val="24"/>
        </w:rPr>
        <w:t>Şubat</w:t>
      </w:r>
      <w:r w:rsidR="00E57C88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7"/>
        <w:gridCol w:w="706"/>
        <w:gridCol w:w="5440"/>
        <w:gridCol w:w="2294"/>
      </w:tblGrid>
      <w:tr w:rsidR="00913A90" w:rsidRPr="00E57C88" w:rsidTr="008E61FA">
        <w:trPr>
          <w:trHeight w:val="1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</w:t>
            </w:r>
          </w:p>
        </w:tc>
        <w:tc>
          <w:tcPr>
            <w:tcW w:w="54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 adı</w:t>
            </w:r>
          </w:p>
        </w:tc>
        <w:tc>
          <w:tcPr>
            <w:tcW w:w="229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İhracat Dolar</w:t>
            </w:r>
          </w:p>
        </w:tc>
      </w:tr>
      <w:tr w:rsidR="009E61C5" w:rsidRPr="00E57C88" w:rsidTr="008E61FA">
        <w:trPr>
          <w:trHeight w:val="357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E57C88" w:rsidRDefault="009E61C5" w:rsidP="009E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Motorlu kara taşıtları, bisiklet ver motosikletler, bunların aksam ve parçası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2.074.029.429</w:t>
            </w:r>
          </w:p>
        </w:tc>
      </w:tr>
      <w:tr w:rsidR="009E61C5" w:rsidRPr="00E57C88" w:rsidTr="008E61FA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E57C88" w:rsidRDefault="009E61C5" w:rsidP="009E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Giyim eşyası ve bunların aksesuarları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1.275.160.105</w:t>
            </w:r>
          </w:p>
        </w:tc>
      </w:tr>
      <w:tr w:rsidR="009E61C5" w:rsidRPr="00E57C88" w:rsidTr="008E61FA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E57C88" w:rsidRDefault="009E61C5" w:rsidP="009E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Demir ve çelik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1.006.572.566</w:t>
            </w:r>
          </w:p>
        </w:tc>
      </w:tr>
      <w:tr w:rsidR="009E61C5" w:rsidRPr="00E57C88" w:rsidTr="008E61FA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E57C88" w:rsidRDefault="009E61C5" w:rsidP="009E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8E61FA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Teks</w:t>
            </w:r>
            <w:r w:rsidR="009E61C5">
              <w:rPr>
                <w:rFonts w:ascii="Arial" w:hAnsi="Arial" w:cs="Arial"/>
                <w:color w:val="000000"/>
                <w:sz w:val="16"/>
                <w:szCs w:val="16"/>
              </w:rPr>
              <w:t>til ürünleri (iplik, kumaş, yer kaplamaları, hazır eşya)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916.781.692</w:t>
            </w:r>
          </w:p>
        </w:tc>
      </w:tr>
      <w:tr w:rsidR="009E61C5" w:rsidRPr="00E57C88" w:rsidTr="008E61FA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E57C88" w:rsidRDefault="009E61C5" w:rsidP="009E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Elektrik makinaları,cihazları ve aletleri, vb.aksam,parçaları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769.721.890</w:t>
            </w:r>
          </w:p>
        </w:tc>
      </w:tr>
      <w:tr w:rsidR="009E61C5" w:rsidRPr="00E57C88" w:rsidTr="008E61FA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E57C88" w:rsidRDefault="009E61C5" w:rsidP="009E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Başka yerde belirtilmeyen çeşitli </w:t>
            </w:r>
            <w:r w:rsidR="008E61FA">
              <w:rPr>
                <w:rFonts w:ascii="Arial" w:hAnsi="Arial" w:cs="Arial"/>
                <w:color w:val="000000"/>
                <w:sz w:val="16"/>
                <w:szCs w:val="16"/>
              </w:rPr>
              <w:t>mamul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eşyalar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669.522.517</w:t>
            </w:r>
          </w:p>
        </w:tc>
      </w:tr>
      <w:tr w:rsidR="009E61C5" w:rsidRPr="00E57C88" w:rsidTr="008E61FA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E57C88" w:rsidRDefault="009E61C5" w:rsidP="009E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Meyve ve sebzeler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558.415.698</w:t>
            </w:r>
          </w:p>
        </w:tc>
      </w:tr>
      <w:tr w:rsidR="009E61C5" w:rsidRPr="00E57C88" w:rsidTr="008E61FA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E57C88" w:rsidRDefault="009E61C5" w:rsidP="009E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Demir, çelik, bakır, nikel, </w:t>
            </w:r>
            <w:r w:rsidR="008E61FA">
              <w:rPr>
                <w:rFonts w:ascii="Arial" w:hAnsi="Arial" w:cs="Arial"/>
                <w:color w:val="000000"/>
                <w:sz w:val="16"/>
                <w:szCs w:val="16"/>
              </w:rPr>
              <w:t>alüminyum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ve diğer adi metallerden eşya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555.058.260</w:t>
            </w:r>
          </w:p>
        </w:tc>
      </w:tr>
      <w:tr w:rsidR="009E61C5" w:rsidRPr="00E57C88" w:rsidTr="008E61FA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E57C88" w:rsidRDefault="009E61C5" w:rsidP="009E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Petrol, petrolden elde edilen ürünler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506.821.703</w:t>
            </w:r>
          </w:p>
        </w:tc>
      </w:tr>
      <w:tr w:rsidR="009E61C5" w:rsidRPr="00E57C88" w:rsidTr="008E61FA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9E61C5" w:rsidRPr="00E57C88" w:rsidRDefault="009E61C5" w:rsidP="009E6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Diğer genel endüstri makina/cihazların aksamları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1C5" w:rsidRDefault="009E61C5" w:rsidP="009E61C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435.525.250</w:t>
            </w:r>
          </w:p>
        </w:tc>
      </w:tr>
    </w:tbl>
    <w:p w:rsidR="00D074EA" w:rsidRDefault="00D074EA" w:rsidP="00B61CAE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5"/>
        <w:gridCol w:w="638"/>
        <w:gridCol w:w="5586"/>
        <w:gridCol w:w="2268"/>
      </w:tblGrid>
      <w:tr w:rsidR="00E57C88" w:rsidRPr="00E57C88" w:rsidTr="008E61FA">
        <w:trPr>
          <w:trHeight w:val="272"/>
        </w:trPr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63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</w:t>
            </w:r>
          </w:p>
        </w:tc>
        <w:tc>
          <w:tcPr>
            <w:tcW w:w="558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 adı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E57C88" w:rsidRPr="00E57C88" w:rsidRDefault="00E57C88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İthalat Dolar</w:t>
            </w:r>
          </w:p>
        </w:tc>
      </w:tr>
      <w:tr w:rsidR="008E61FA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E61FA" w:rsidRPr="00E57C88" w:rsidRDefault="008E61FA" w:rsidP="008E6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Gizli veri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2.353.062.253</w:t>
            </w:r>
          </w:p>
        </w:tc>
      </w:tr>
      <w:tr w:rsidR="008E61FA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E61FA" w:rsidRPr="00E57C88" w:rsidRDefault="008E61FA" w:rsidP="008E6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Demir, deniz, havayolu taşıtları ile bunların aksam, parçaları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888.913.452</w:t>
            </w:r>
          </w:p>
        </w:tc>
      </w:tr>
      <w:tr w:rsidR="008E61FA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E61FA" w:rsidRPr="00E57C88" w:rsidRDefault="008E61FA" w:rsidP="008E6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İlk şekillerde plastikler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713.427.708</w:t>
            </w:r>
          </w:p>
        </w:tc>
      </w:tr>
      <w:tr w:rsidR="008E61FA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E61FA" w:rsidRPr="00E57C88" w:rsidRDefault="008E61FA" w:rsidP="008E6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lastRenderedPageBreak/>
              <w:t>4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Demir ve çelik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702.412.390</w:t>
            </w:r>
          </w:p>
        </w:tc>
      </w:tr>
      <w:tr w:rsidR="008E61FA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E61FA" w:rsidRPr="00E57C88" w:rsidRDefault="008E61FA" w:rsidP="008E6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Petrol, petrolden elde edilen ürünler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677.015.869</w:t>
            </w:r>
          </w:p>
        </w:tc>
      </w:tr>
      <w:tr w:rsidR="008E61FA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E61FA" w:rsidRPr="00E57C88" w:rsidRDefault="008E61FA" w:rsidP="008E6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Altın,parasal olmayan (altın madeni ve konsantreleri hariç)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675.042.390</w:t>
            </w:r>
          </w:p>
        </w:tc>
      </w:tr>
      <w:tr w:rsidR="008E61FA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E61FA" w:rsidRPr="00E57C88" w:rsidRDefault="008E61FA" w:rsidP="008E6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Elektrik makinaları,cihazları ve aletleri, vb.aksam,parçaları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649.036.222</w:t>
            </w:r>
          </w:p>
        </w:tc>
      </w:tr>
      <w:tr w:rsidR="008E61FA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E61FA" w:rsidRPr="00E57C88" w:rsidRDefault="008E61FA" w:rsidP="008E6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Motorlu kara taşıtları, bisiklet ver motosikletler, bunların aksam ve parçası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603.925.159</w:t>
            </w:r>
          </w:p>
        </w:tc>
      </w:tr>
      <w:tr w:rsidR="008E61FA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E61FA" w:rsidRPr="00E57C88" w:rsidRDefault="008E61FA" w:rsidP="008E6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Diğer genel endüstri makina/cihazların aksamları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600.000.129</w:t>
            </w:r>
          </w:p>
        </w:tc>
      </w:tr>
      <w:tr w:rsidR="008E61FA" w:rsidRPr="00E57C88" w:rsidTr="008E61FA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E61FA" w:rsidRPr="00E57C88" w:rsidRDefault="008E61FA" w:rsidP="008E61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Güç üreten makineler ve araçlar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1FA" w:rsidRDefault="008E61FA" w:rsidP="008E61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553.464.906</w:t>
            </w:r>
          </w:p>
        </w:tc>
      </w:tr>
    </w:tbl>
    <w:p w:rsidR="00C56530" w:rsidRPr="00207D30" w:rsidRDefault="00C56530" w:rsidP="00C56530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5123EB" w:rsidRDefault="00C56530" w:rsidP="005123EB">
      <w:pPr>
        <w:jc w:val="both"/>
        <w:rPr>
          <w:rFonts w:cstheme="minorHAnsi"/>
          <w:color w:val="000000"/>
        </w:rPr>
      </w:pPr>
      <w:r>
        <w:br/>
      </w:r>
      <w:r w:rsidR="00D074EA" w:rsidRPr="009C3D5A">
        <w:t>Se</w:t>
      </w:r>
      <w:r w:rsidR="006306C8">
        <w:t>ktörel ihracatta</w:t>
      </w:r>
      <w:r w:rsidR="00D074EA">
        <w:t>, 201</w:t>
      </w:r>
      <w:r w:rsidR="00CD72A5">
        <w:t>9</w:t>
      </w:r>
      <w:r w:rsidR="008E61FA">
        <w:t>Şubat</w:t>
      </w:r>
      <w:r w:rsidR="00801235">
        <w:t xml:space="preserve">ayında </w:t>
      </w:r>
      <w:r w:rsidR="008E61FA">
        <w:t>2,07</w:t>
      </w:r>
      <w:r w:rsidR="006306C8">
        <w:t xml:space="preserve"> milyar dolar ile </w:t>
      </w:r>
      <w:r w:rsidR="00F727B6">
        <w:t>m</w:t>
      </w:r>
      <w:r w:rsidR="00F727B6" w:rsidRPr="009E6645">
        <w:t>oto</w:t>
      </w:r>
      <w:r w:rsidR="00F727B6">
        <w:t>rlu kara taşıtları, bisiklet ve</w:t>
      </w:r>
      <w:r w:rsidR="00F727B6" w:rsidRPr="009E6645">
        <w:t xml:space="preserve"> motosikletler, bunların aksam ve parçası</w:t>
      </w:r>
      <w:r w:rsidR="006306C8">
        <w:t>lider konumdadır.</w:t>
      </w:r>
      <w:r w:rsidR="00D074EA" w:rsidRPr="009C3D5A">
        <w:t xml:space="preserve"> Sektörü </w:t>
      </w:r>
      <w:r w:rsidR="006306C8">
        <w:t>1,</w:t>
      </w:r>
      <w:r w:rsidR="008269F5">
        <w:t>2</w:t>
      </w:r>
      <w:r w:rsidR="008E61FA">
        <w:t>8</w:t>
      </w:r>
      <w:r w:rsidR="00D074EA" w:rsidRPr="009C3D5A">
        <w:t xml:space="preserve"> milyar dolar ile </w:t>
      </w:r>
      <w:r w:rsidR="00F727B6">
        <w:t>g</w:t>
      </w:r>
      <w:r w:rsidR="00F727B6" w:rsidRPr="009E6645">
        <w:t>iyim eşyası ve bunların aksesuarları</w:t>
      </w:r>
      <w:r w:rsidR="006306C8" w:rsidRPr="009C3D5A">
        <w:t>ihracatı</w:t>
      </w:r>
      <w:r w:rsidR="00D074EA" w:rsidRPr="009C3D5A">
        <w:t xml:space="preserve">ve </w:t>
      </w:r>
      <w:r w:rsidR="009C05B7">
        <w:t>1</w:t>
      </w:r>
      <w:r w:rsidR="00CD72A5">
        <w:t xml:space="preserve"> milyar dolar </w:t>
      </w:r>
      <w:r w:rsidR="00D074EA" w:rsidRPr="009C3D5A">
        <w:t xml:space="preserve">ile </w:t>
      </w:r>
      <w:r w:rsidR="00CD72A5">
        <w:t xml:space="preserve">demir ve çelik </w:t>
      </w:r>
      <w:r w:rsidR="00D074EA" w:rsidRPr="009C3D5A">
        <w:t xml:space="preserve">ihracatı takip etmektedir. İthalatta ise </w:t>
      </w:r>
      <w:r w:rsidR="009C05B7">
        <w:t>ilk sırayı 2,36</w:t>
      </w:r>
      <w:r w:rsidR="005123EB">
        <w:t xml:space="preserve"> milyar dolarlık ithalat ile </w:t>
      </w:r>
      <w:r w:rsidR="007F0174" w:rsidRPr="002117E9">
        <w:t>aç</w:t>
      </w:r>
      <w:r w:rsidR="007F0174">
        <w:t xml:space="preserve">ıklanmayan (Gizli veri) ürünler </w:t>
      </w:r>
      <w:r w:rsidR="005123EB">
        <w:t xml:space="preserve">alırken, </w:t>
      </w:r>
      <w:r w:rsidR="00DA63E7">
        <w:t xml:space="preserve">onu </w:t>
      </w:r>
      <w:r w:rsidR="009C05B7">
        <w:t>888,9</w:t>
      </w:r>
      <w:r w:rsidR="007F0174">
        <w:t xml:space="preserve"> milyon dolar </w:t>
      </w:r>
      <w:r w:rsidR="00801235">
        <w:t>ile</w:t>
      </w:r>
      <w:r w:rsidR="009C05B7">
        <w:t>d</w:t>
      </w:r>
      <w:r w:rsidR="009C05B7" w:rsidRPr="009C05B7">
        <w:t>emir, deniz, havayolu taşıtları ile bunların aksam, parçaları</w:t>
      </w:r>
      <w:r w:rsidR="005123EB">
        <w:t xml:space="preserve">ve </w:t>
      </w:r>
      <w:r w:rsidR="007F0174">
        <w:t>7</w:t>
      </w:r>
      <w:r w:rsidR="009C05B7">
        <w:t>13,4</w:t>
      </w:r>
      <w:r w:rsidR="00801235">
        <w:t>milyar dolarlık ithalatı ile</w:t>
      </w:r>
      <w:r w:rsidR="007F0174">
        <w:t xml:space="preserve"> ilk şekillerde plastikler </w:t>
      </w:r>
      <w:r w:rsidR="005123EB">
        <w:rPr>
          <w:rFonts w:cstheme="minorHAnsi"/>
          <w:color w:val="000000"/>
        </w:rPr>
        <w:t>takip etmektedir.</w:t>
      </w:r>
    </w:p>
    <w:p w:rsidR="00207D30" w:rsidRPr="00207D30" w:rsidRDefault="00207D30" w:rsidP="005123EB">
      <w:pPr>
        <w:jc w:val="both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5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İmalat sanayi ürünleri için teknoloji yoğunluğu, mily</w:t>
      </w:r>
      <w:r w:rsidR="00D864BD">
        <w:rPr>
          <w:rFonts w:eastAsia="Times New Roman" w:cs="Times New Roman"/>
          <w:b/>
          <w:bCs/>
          <w:kern w:val="36"/>
          <w:sz w:val="24"/>
          <w:szCs w:val="24"/>
        </w:rPr>
        <w:t>ar</w:t>
      </w: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 $</w:t>
      </w:r>
      <w:r w:rsidR="00293278">
        <w:rPr>
          <w:rFonts w:eastAsia="Times New Roman" w:cs="Times New Roman"/>
          <w:b/>
          <w:bCs/>
          <w:kern w:val="36"/>
          <w:sz w:val="24"/>
          <w:szCs w:val="24"/>
        </w:rPr>
        <w:t>, %</w:t>
      </w:r>
      <w:r w:rsidR="008974F5">
        <w:rPr>
          <w:rFonts w:eastAsia="Times New Roman" w:cs="Times New Roman"/>
          <w:b/>
          <w:bCs/>
          <w:kern w:val="36"/>
          <w:sz w:val="24"/>
          <w:szCs w:val="24"/>
        </w:rPr>
        <w:t xml:space="preserve">  (201</w:t>
      </w:r>
      <w:r w:rsidR="007F0174">
        <w:rPr>
          <w:rFonts w:eastAsia="Times New Roman" w:cs="Times New Roman"/>
          <w:b/>
          <w:bCs/>
          <w:kern w:val="36"/>
          <w:sz w:val="24"/>
          <w:szCs w:val="24"/>
        </w:rPr>
        <w:t>9</w:t>
      </w:r>
      <w:r w:rsidR="008E61FA">
        <w:rPr>
          <w:rFonts w:eastAsia="Times New Roman" w:cs="Times New Roman"/>
          <w:b/>
          <w:bCs/>
          <w:kern w:val="36"/>
          <w:sz w:val="24"/>
          <w:szCs w:val="24"/>
        </w:rPr>
        <w:t>Şubat</w:t>
      </w:r>
      <w:r w:rsidR="005C1EC6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5402" w:type="dxa"/>
        <w:tblInd w:w="93" w:type="dxa"/>
        <w:tblLook w:val="04A0"/>
      </w:tblPr>
      <w:tblGrid>
        <w:gridCol w:w="2425"/>
        <w:gridCol w:w="1559"/>
        <w:gridCol w:w="1418"/>
      </w:tblGrid>
      <w:tr w:rsidR="008378AE" w:rsidRPr="008378AE" w:rsidTr="008378AE">
        <w:trPr>
          <w:trHeight w:val="259"/>
        </w:trPr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İhracat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Toplamimalatsanayi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E61FA" w:rsidP="00F4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12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81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E61F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E61FA" w:rsidP="00897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3,4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E61FA" w:rsidP="007C4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E61F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36,3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Orta-düşükteknoloji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8E61FA">
              <w:rPr>
                <w:rFonts w:ascii="Calibri" w:eastAsia="Times New Roman" w:hAnsi="Calibri" w:cs="Calibri"/>
                <w:color w:val="000000"/>
                <w:lang w:val="en-US" w:eastAsia="en-US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E61F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27,6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8E61FA">
              <w:rPr>
                <w:rFonts w:ascii="Calibri" w:eastAsia="Times New Roman" w:hAnsi="Calibri" w:cs="Calibri"/>
                <w:color w:val="000000"/>
                <w:lang w:val="en-US" w:eastAsia="en-US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E61F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32,7</w:t>
            </w:r>
          </w:p>
        </w:tc>
      </w:tr>
    </w:tbl>
    <w:p w:rsidR="00207D30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tbl>
      <w:tblPr>
        <w:tblW w:w="5402" w:type="dxa"/>
        <w:tblInd w:w="93" w:type="dxa"/>
        <w:tblLook w:val="04A0"/>
      </w:tblPr>
      <w:tblGrid>
        <w:gridCol w:w="2425"/>
        <w:gridCol w:w="1559"/>
        <w:gridCol w:w="1418"/>
      </w:tblGrid>
      <w:tr w:rsidR="008378AE" w:rsidRPr="008378AE" w:rsidTr="008378AE">
        <w:trPr>
          <w:trHeight w:val="219"/>
        </w:trPr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İthalat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Toplamimalatsanayi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F4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F41830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19086A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8E61FA">
              <w:rPr>
                <w:rFonts w:ascii="Calibri" w:eastAsia="Times New Roman" w:hAnsi="Calibri" w:cs="Calibri"/>
                <w:color w:val="000000"/>
                <w:lang w:val="en-US" w:eastAsia="en-US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F41830" w:rsidP="007C4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1,</w:t>
            </w:r>
            <w:r w:rsidR="008E61FA">
              <w:rPr>
                <w:rFonts w:ascii="Calibri" w:eastAsia="Times New Roman" w:hAnsi="Calibri" w:cs="Calibri"/>
                <w:color w:val="000000"/>
                <w:lang w:val="en-US" w:eastAsia="en-US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897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F41830"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  <w:r w:rsidR="008E61FA">
              <w:rPr>
                <w:rFonts w:ascii="Calibri" w:eastAsia="Times New Roman" w:hAnsi="Calibri" w:cs="Calibri"/>
                <w:color w:val="000000"/>
                <w:lang w:val="en-US" w:eastAsia="en-US"/>
              </w:rPr>
              <w:t>,7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F41830" w:rsidP="0019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4,</w:t>
            </w:r>
            <w:r w:rsidR="008E61FA">
              <w:rPr>
                <w:rFonts w:ascii="Calibri" w:eastAsia="Times New Roman" w:hAnsi="Calibri" w:cs="Calibri"/>
                <w:color w:val="000000"/>
                <w:lang w:val="en-US" w:eastAsia="en-US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E61F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39,8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Orta-düşükteknoloji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F41830" w:rsidP="0019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="007C407A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8E61FA">
              <w:rPr>
                <w:rFonts w:ascii="Calibri" w:eastAsia="Times New Roman" w:hAnsi="Calibri" w:cs="Calibri"/>
                <w:color w:val="000000"/>
                <w:lang w:val="en-US" w:eastAsia="en-US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E61F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32,4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E61FA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E61FA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12,1</w:t>
            </w:r>
          </w:p>
        </w:tc>
      </w:tr>
    </w:tbl>
    <w:p w:rsidR="00207D30" w:rsidRDefault="00207D30" w:rsidP="00B61CAE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207D30" w:rsidRPr="00D074EA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p w:rsidR="00E27E57" w:rsidRPr="00DD6AA5" w:rsidRDefault="00C7379E" w:rsidP="00E27E57">
      <w:pPr>
        <w:jc w:val="both"/>
      </w:pPr>
      <w:r w:rsidRPr="009C3D5A">
        <w:t xml:space="preserve">Türkiye İstatistik Kurumu imalat sanayi ürünleri için teknoloji yoğunluğuna göre dış ticaret verilerini de açıklamaktadır. ISIC </w:t>
      </w:r>
      <w:r w:rsidR="00C1467F">
        <w:t>REV</w:t>
      </w:r>
      <w:r w:rsidRPr="009C3D5A">
        <w:t>.3 sınıflamasına göre</w:t>
      </w:r>
      <w:r w:rsidR="007F0174">
        <w:t xml:space="preserve"> 2019</w:t>
      </w:r>
      <w:r w:rsidR="009C05B7">
        <w:t>Şubat</w:t>
      </w:r>
      <w:r w:rsidR="007C155D" w:rsidRPr="009C3D5A">
        <w:t xml:space="preserve"> ayında </w:t>
      </w:r>
      <w:r w:rsidRPr="009C3D5A">
        <w:t xml:space="preserve">imalat sanayi ürünlerinin toplam </w:t>
      </w:r>
      <w:r w:rsidR="008378AE">
        <w:t>ihracatı içerisinde</w:t>
      </w:r>
      <w:r w:rsidR="00C1467F">
        <w:t>yüksek</w:t>
      </w:r>
      <w:r w:rsidRPr="009C3D5A">
        <w:t xml:space="preserve"> teknoloji</w:t>
      </w:r>
      <w:r w:rsidR="00C1467F">
        <w:t>li</w:t>
      </w:r>
      <w:r w:rsidR="008378AE">
        <w:t xml:space="preserve"> ürünlerin </w:t>
      </w:r>
      <w:r w:rsidR="00D471EB">
        <w:t xml:space="preserve">payı yüzde </w:t>
      </w:r>
      <w:r w:rsidR="007F0174">
        <w:t>3</w:t>
      </w:r>
      <w:r w:rsidR="009C05B7">
        <w:t>,4</w:t>
      </w:r>
      <w:r w:rsidR="00BB0444">
        <w:t>,</w:t>
      </w:r>
      <w:r w:rsidRPr="009C3D5A">
        <w:t xml:space="preserve"> orta </w:t>
      </w:r>
      <w:r w:rsidR="00C1467F">
        <w:t>yüksek</w:t>
      </w:r>
      <w:r w:rsidRPr="009C3D5A">
        <w:t xml:space="preserve"> tekno</w:t>
      </w:r>
      <w:r w:rsidR="007C155D" w:rsidRPr="009C3D5A">
        <w:t>loji</w:t>
      </w:r>
      <w:r w:rsidR="00C1467F">
        <w:t>li</w:t>
      </w:r>
      <w:r w:rsidR="007C155D" w:rsidRPr="009C3D5A">
        <w:t xml:space="preserve"> ürünlerin payı ise yüzde </w:t>
      </w:r>
      <w:r w:rsidR="0019086A">
        <w:t>3</w:t>
      </w:r>
      <w:r w:rsidR="009C05B7">
        <w:t>6,3</w:t>
      </w:r>
      <w:r w:rsidR="00DC3282">
        <w:t>’</w:t>
      </w:r>
      <w:r w:rsidR="000048F7">
        <w:t>dir</w:t>
      </w:r>
      <w:r w:rsidRPr="009C3D5A">
        <w:t>.</w:t>
      </w:r>
      <w:r w:rsidR="00E27E57" w:rsidRPr="009C3D5A">
        <w:t xml:space="preserve"> İthalatta ise imalat </w:t>
      </w:r>
      <w:r w:rsidR="007C155D" w:rsidRPr="009C3D5A">
        <w:t>sa</w:t>
      </w:r>
      <w:r w:rsidR="008378AE">
        <w:t xml:space="preserve">nayi ürünleri içerisinde </w:t>
      </w:r>
      <w:r w:rsidR="00C1467F">
        <w:t>yüksek</w:t>
      </w:r>
      <w:r w:rsidR="00E27E57" w:rsidRPr="009C3D5A">
        <w:t xml:space="preserve"> teknoloji</w:t>
      </w:r>
      <w:r w:rsidR="00C1467F">
        <w:t>li</w:t>
      </w:r>
      <w:r w:rsidR="005C1EC6">
        <w:t>ürünlerinin payı yüzde 1</w:t>
      </w:r>
      <w:r w:rsidR="007F0174">
        <w:t>5</w:t>
      </w:r>
      <w:r w:rsidR="009C05B7">
        <w:t>,7</w:t>
      </w:r>
      <w:r w:rsidR="00E27E57" w:rsidRPr="009C3D5A">
        <w:t xml:space="preserve"> olmuştur. Orta </w:t>
      </w:r>
      <w:r w:rsidR="00C1467F">
        <w:t>yüksek</w:t>
      </w:r>
      <w:r w:rsidR="00E27E57" w:rsidRPr="009C3D5A">
        <w:t xml:space="preserve"> teknoloji</w:t>
      </w:r>
      <w:r w:rsidR="000048F7">
        <w:t>li ürünlerin pa</w:t>
      </w:r>
      <w:r w:rsidR="007F0174">
        <w:t xml:space="preserve">yı ise yüzde </w:t>
      </w:r>
      <w:r w:rsidR="009C05B7">
        <w:t>39</w:t>
      </w:r>
      <w:r w:rsidR="007F0174">
        <w:t>,8</w:t>
      </w:r>
      <w:r w:rsidR="005C1EC6">
        <w:t>’</w:t>
      </w:r>
      <w:r w:rsidR="000048F7">
        <w:t>dir</w:t>
      </w:r>
      <w:r w:rsidR="00E27E57" w:rsidRPr="009C3D5A">
        <w:t>.</w:t>
      </w:r>
    </w:p>
    <w:p w:rsidR="00CE7503" w:rsidRPr="00DD6AA5" w:rsidRDefault="00CE7503"/>
    <w:p w:rsidR="006A09A3" w:rsidRPr="00DD6AA5" w:rsidRDefault="006A09A3"/>
    <w:p w:rsidR="006A09A3" w:rsidRPr="00DD6AA5" w:rsidRDefault="006A09A3"/>
    <w:sectPr w:rsidR="006A09A3" w:rsidRPr="00DD6AA5" w:rsidSect="00E2016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13C" w:rsidRDefault="002B713C" w:rsidP="00F43AC2">
      <w:pPr>
        <w:spacing w:after="0" w:line="240" w:lineRule="auto"/>
      </w:pPr>
      <w:r>
        <w:separator/>
      </w:r>
    </w:p>
  </w:endnote>
  <w:endnote w:type="continuationSeparator" w:id="1">
    <w:p w:rsidR="002B713C" w:rsidRDefault="002B713C" w:rsidP="00F4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5396"/>
      <w:docPartObj>
        <w:docPartGallery w:val="Page Numbers (Bottom of Page)"/>
        <w:docPartUnique/>
      </w:docPartObj>
    </w:sdtPr>
    <w:sdtContent>
      <w:p w:rsidR="00820484" w:rsidRDefault="000621E7">
        <w:pPr>
          <w:pStyle w:val="Altbilgi"/>
          <w:jc w:val="right"/>
        </w:pPr>
        <w:r>
          <w:fldChar w:fldCharType="begin"/>
        </w:r>
        <w:r w:rsidR="002B763F">
          <w:instrText xml:space="preserve"> PAGE   \* MERGEFORMAT </w:instrText>
        </w:r>
        <w:r>
          <w:fldChar w:fldCharType="separate"/>
        </w:r>
        <w:r w:rsidR="00CB7E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0484" w:rsidRDefault="0082048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13C" w:rsidRDefault="002B713C" w:rsidP="00F43AC2">
      <w:pPr>
        <w:spacing w:after="0" w:line="240" w:lineRule="auto"/>
      </w:pPr>
      <w:r>
        <w:separator/>
      </w:r>
    </w:p>
  </w:footnote>
  <w:footnote w:type="continuationSeparator" w:id="1">
    <w:p w:rsidR="002B713C" w:rsidRDefault="002B713C" w:rsidP="00F43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D01"/>
    <w:rsid w:val="000048F7"/>
    <w:rsid w:val="00011017"/>
    <w:rsid w:val="0001649F"/>
    <w:rsid w:val="000169CD"/>
    <w:rsid w:val="000174DC"/>
    <w:rsid w:val="00024004"/>
    <w:rsid w:val="00024E59"/>
    <w:rsid w:val="00030B38"/>
    <w:rsid w:val="00034A51"/>
    <w:rsid w:val="00047A3E"/>
    <w:rsid w:val="00047CE7"/>
    <w:rsid w:val="000621E7"/>
    <w:rsid w:val="00066999"/>
    <w:rsid w:val="000B0F76"/>
    <w:rsid w:val="000B1709"/>
    <w:rsid w:val="000C0786"/>
    <w:rsid w:val="000E09A3"/>
    <w:rsid w:val="000E65E3"/>
    <w:rsid w:val="00104735"/>
    <w:rsid w:val="00134344"/>
    <w:rsid w:val="001603F9"/>
    <w:rsid w:val="00162943"/>
    <w:rsid w:val="00162B88"/>
    <w:rsid w:val="0019086A"/>
    <w:rsid w:val="00197079"/>
    <w:rsid w:val="001A3903"/>
    <w:rsid w:val="001F4B97"/>
    <w:rsid w:val="001F5C25"/>
    <w:rsid w:val="00207511"/>
    <w:rsid w:val="00207D30"/>
    <w:rsid w:val="002117E9"/>
    <w:rsid w:val="002157EE"/>
    <w:rsid w:val="00230A29"/>
    <w:rsid w:val="002349EC"/>
    <w:rsid w:val="0023568E"/>
    <w:rsid w:val="00240215"/>
    <w:rsid w:val="00254707"/>
    <w:rsid w:val="00270B23"/>
    <w:rsid w:val="00273DDB"/>
    <w:rsid w:val="00284EE7"/>
    <w:rsid w:val="0029300F"/>
    <w:rsid w:val="00293278"/>
    <w:rsid w:val="002956A9"/>
    <w:rsid w:val="002B1532"/>
    <w:rsid w:val="002B628C"/>
    <w:rsid w:val="002B713C"/>
    <w:rsid w:val="002B763F"/>
    <w:rsid w:val="002E5CA2"/>
    <w:rsid w:val="002E6E48"/>
    <w:rsid w:val="00314005"/>
    <w:rsid w:val="00314CD6"/>
    <w:rsid w:val="00321EBC"/>
    <w:rsid w:val="003367F9"/>
    <w:rsid w:val="00392ED5"/>
    <w:rsid w:val="003944A2"/>
    <w:rsid w:val="003D0EA9"/>
    <w:rsid w:val="003F4F3D"/>
    <w:rsid w:val="00412B6A"/>
    <w:rsid w:val="00421039"/>
    <w:rsid w:val="00447D93"/>
    <w:rsid w:val="004602F8"/>
    <w:rsid w:val="00472AF7"/>
    <w:rsid w:val="0048257F"/>
    <w:rsid w:val="004C5FAB"/>
    <w:rsid w:val="004D49AB"/>
    <w:rsid w:val="004E0C1E"/>
    <w:rsid w:val="004E7AA7"/>
    <w:rsid w:val="004F0E9E"/>
    <w:rsid w:val="00501781"/>
    <w:rsid w:val="005123EB"/>
    <w:rsid w:val="00540D42"/>
    <w:rsid w:val="00577896"/>
    <w:rsid w:val="00582443"/>
    <w:rsid w:val="00587E0B"/>
    <w:rsid w:val="005A735F"/>
    <w:rsid w:val="005B007A"/>
    <w:rsid w:val="005B74E2"/>
    <w:rsid w:val="005C02CC"/>
    <w:rsid w:val="005C1EC6"/>
    <w:rsid w:val="005D6CB6"/>
    <w:rsid w:val="005E55BC"/>
    <w:rsid w:val="005F16FA"/>
    <w:rsid w:val="006006DA"/>
    <w:rsid w:val="0060716F"/>
    <w:rsid w:val="006306C8"/>
    <w:rsid w:val="00635D39"/>
    <w:rsid w:val="006538E8"/>
    <w:rsid w:val="006634A0"/>
    <w:rsid w:val="00672626"/>
    <w:rsid w:val="00676E49"/>
    <w:rsid w:val="006864AB"/>
    <w:rsid w:val="006A09A3"/>
    <w:rsid w:val="006C1C96"/>
    <w:rsid w:val="006D5432"/>
    <w:rsid w:val="006E3C93"/>
    <w:rsid w:val="006E7CD2"/>
    <w:rsid w:val="006F66DA"/>
    <w:rsid w:val="00735D9A"/>
    <w:rsid w:val="00764636"/>
    <w:rsid w:val="00790C7B"/>
    <w:rsid w:val="007A222E"/>
    <w:rsid w:val="007C155D"/>
    <w:rsid w:val="007C407A"/>
    <w:rsid w:val="007C538F"/>
    <w:rsid w:val="007D10EA"/>
    <w:rsid w:val="007F0174"/>
    <w:rsid w:val="007F367A"/>
    <w:rsid w:val="007F50E4"/>
    <w:rsid w:val="00801235"/>
    <w:rsid w:val="00820484"/>
    <w:rsid w:val="008262AB"/>
    <w:rsid w:val="008269F5"/>
    <w:rsid w:val="00831B3B"/>
    <w:rsid w:val="008378AE"/>
    <w:rsid w:val="00847FC9"/>
    <w:rsid w:val="00867C71"/>
    <w:rsid w:val="0087171E"/>
    <w:rsid w:val="00886790"/>
    <w:rsid w:val="00890E8A"/>
    <w:rsid w:val="00894D47"/>
    <w:rsid w:val="008974F5"/>
    <w:rsid w:val="008A1816"/>
    <w:rsid w:val="008B246F"/>
    <w:rsid w:val="008D17ED"/>
    <w:rsid w:val="008E61FA"/>
    <w:rsid w:val="008F7528"/>
    <w:rsid w:val="00913A90"/>
    <w:rsid w:val="00922A92"/>
    <w:rsid w:val="009435E7"/>
    <w:rsid w:val="0094521C"/>
    <w:rsid w:val="0095258A"/>
    <w:rsid w:val="00955246"/>
    <w:rsid w:val="0097055D"/>
    <w:rsid w:val="00981AD3"/>
    <w:rsid w:val="009C05B7"/>
    <w:rsid w:val="009C3D5A"/>
    <w:rsid w:val="009E61C5"/>
    <w:rsid w:val="009E6645"/>
    <w:rsid w:val="009E6845"/>
    <w:rsid w:val="00A01B59"/>
    <w:rsid w:val="00A06E3C"/>
    <w:rsid w:val="00A13941"/>
    <w:rsid w:val="00A17326"/>
    <w:rsid w:val="00A2009E"/>
    <w:rsid w:val="00A25582"/>
    <w:rsid w:val="00A3750A"/>
    <w:rsid w:val="00A62888"/>
    <w:rsid w:val="00A6670C"/>
    <w:rsid w:val="00A86AF1"/>
    <w:rsid w:val="00A9435C"/>
    <w:rsid w:val="00AD00C3"/>
    <w:rsid w:val="00AF5794"/>
    <w:rsid w:val="00B01160"/>
    <w:rsid w:val="00B116E5"/>
    <w:rsid w:val="00B1525D"/>
    <w:rsid w:val="00B27572"/>
    <w:rsid w:val="00B61CAE"/>
    <w:rsid w:val="00B772CF"/>
    <w:rsid w:val="00B77C4F"/>
    <w:rsid w:val="00B861B5"/>
    <w:rsid w:val="00BB0444"/>
    <w:rsid w:val="00BB3701"/>
    <w:rsid w:val="00BC0061"/>
    <w:rsid w:val="00BC608C"/>
    <w:rsid w:val="00BD283D"/>
    <w:rsid w:val="00BF70F9"/>
    <w:rsid w:val="00C13B06"/>
    <w:rsid w:val="00C1467F"/>
    <w:rsid w:val="00C1695B"/>
    <w:rsid w:val="00C21BFE"/>
    <w:rsid w:val="00C56530"/>
    <w:rsid w:val="00C6508C"/>
    <w:rsid w:val="00C7379E"/>
    <w:rsid w:val="00C77119"/>
    <w:rsid w:val="00CA31BE"/>
    <w:rsid w:val="00CA6A1E"/>
    <w:rsid w:val="00CB030C"/>
    <w:rsid w:val="00CB0A4D"/>
    <w:rsid w:val="00CB7E27"/>
    <w:rsid w:val="00CC376F"/>
    <w:rsid w:val="00CD4865"/>
    <w:rsid w:val="00CD72A5"/>
    <w:rsid w:val="00CE7503"/>
    <w:rsid w:val="00D074EA"/>
    <w:rsid w:val="00D07D01"/>
    <w:rsid w:val="00D308FB"/>
    <w:rsid w:val="00D337A5"/>
    <w:rsid w:val="00D471EB"/>
    <w:rsid w:val="00D5436F"/>
    <w:rsid w:val="00D57F21"/>
    <w:rsid w:val="00D61B49"/>
    <w:rsid w:val="00D80CC9"/>
    <w:rsid w:val="00D864BD"/>
    <w:rsid w:val="00D8702A"/>
    <w:rsid w:val="00DA63E7"/>
    <w:rsid w:val="00DA7CF5"/>
    <w:rsid w:val="00DB20D7"/>
    <w:rsid w:val="00DB359A"/>
    <w:rsid w:val="00DC15D2"/>
    <w:rsid w:val="00DC3282"/>
    <w:rsid w:val="00DC5CA2"/>
    <w:rsid w:val="00DD6AA5"/>
    <w:rsid w:val="00E0516C"/>
    <w:rsid w:val="00E07918"/>
    <w:rsid w:val="00E07B1A"/>
    <w:rsid w:val="00E20164"/>
    <w:rsid w:val="00E27E57"/>
    <w:rsid w:val="00E34DEB"/>
    <w:rsid w:val="00E50701"/>
    <w:rsid w:val="00E542E3"/>
    <w:rsid w:val="00E551E6"/>
    <w:rsid w:val="00E57C88"/>
    <w:rsid w:val="00E75459"/>
    <w:rsid w:val="00E83CB2"/>
    <w:rsid w:val="00E86C2E"/>
    <w:rsid w:val="00E92FFF"/>
    <w:rsid w:val="00EB3D95"/>
    <w:rsid w:val="00EB5E5C"/>
    <w:rsid w:val="00EC602A"/>
    <w:rsid w:val="00F11B62"/>
    <w:rsid w:val="00F138EA"/>
    <w:rsid w:val="00F306F9"/>
    <w:rsid w:val="00F3379C"/>
    <w:rsid w:val="00F41830"/>
    <w:rsid w:val="00F43AC2"/>
    <w:rsid w:val="00F53242"/>
    <w:rsid w:val="00F727B6"/>
    <w:rsid w:val="00F72F39"/>
    <w:rsid w:val="00FA365B"/>
    <w:rsid w:val="00FB066D"/>
    <w:rsid w:val="00FD0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01"/>
    <w:rPr>
      <w:rFonts w:asciiTheme="minorHAnsi" w:eastAsiaTheme="minorEastAsia" w:hAnsiTheme="minorHAns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D01"/>
    <w:rPr>
      <w:rFonts w:asciiTheme="minorHAnsi" w:eastAsiaTheme="minorEastAsia" w:hAnsiTheme="minorHAns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01"/>
    <w:rPr>
      <w:rFonts w:ascii="Tahoma" w:eastAsiaTheme="minorEastAsi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3AC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3AC2"/>
    <w:rPr>
      <w:rFonts w:asciiTheme="minorHAnsi" w:eastAsiaTheme="minorEastAsia" w:hAnsiTheme="minorHAns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43AC2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4E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AA7"/>
    <w:rPr>
      <w:rFonts w:asciiTheme="minorHAnsi" w:eastAsiaTheme="minorEastAsia" w:hAnsiTheme="minorHAnsi"/>
      <w:lang w:eastAsia="tr-TR"/>
    </w:rPr>
  </w:style>
  <w:style w:type="table" w:styleId="OrtaGlgeleme2-Vurgu1">
    <w:name w:val="Medium Shading 2 Accent 1"/>
    <w:basedOn w:val="NormalTablo"/>
    <w:uiPriority w:val="64"/>
    <w:rsid w:val="005017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204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01"/>
    <w:rPr>
      <w:rFonts w:asciiTheme="minorHAnsi" w:eastAsiaTheme="minorEastAsia" w:hAnsiTheme="minorHAns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D01"/>
    <w:rPr>
      <w:rFonts w:asciiTheme="minorHAnsi" w:eastAsiaTheme="minorEastAsia" w:hAnsiTheme="minorHAns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01"/>
    <w:rPr>
      <w:rFonts w:ascii="Tahoma" w:eastAsiaTheme="minorEastAsi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3AC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3AC2"/>
    <w:rPr>
      <w:rFonts w:asciiTheme="minorHAnsi" w:eastAsiaTheme="minorEastAsia" w:hAnsiTheme="minorHAns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43AC2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4E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AA7"/>
    <w:rPr>
      <w:rFonts w:asciiTheme="minorHAnsi" w:eastAsiaTheme="minorEastAsia" w:hAnsiTheme="minorHAnsi"/>
      <w:lang w:eastAsia="tr-TR"/>
    </w:rPr>
  </w:style>
  <w:style w:type="table" w:styleId="OrtaGlgeleme2-Vurgu1">
    <w:name w:val="Medium Shading 2 Accent 1"/>
    <w:basedOn w:val="NormalTablo"/>
    <w:uiPriority w:val="64"/>
    <w:rsid w:val="005017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2048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aylan%20PC\Cloud\HH_D&#305;&#351;%20Ticaret%20&#304;statistik\DT_0419\Ocak_d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aylan%20PC\Cloud\HH_D&#305;&#351;%20Ticaret%20&#304;statistik\DT_0419\Ocak_d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Sayfa1!$Q$7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206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Sayfa1!$P$8:$P$19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Sayfa1!$Q$8:$Q$19</c:f>
              <c:numCache>
                <c:formatCode>0.0</c:formatCode>
                <c:ptCount val="12"/>
                <c:pt idx="0">
                  <c:v>12.434097476</c:v>
                </c:pt>
                <c:pt idx="1">
                  <c:v>13.148155379999997</c:v>
                </c:pt>
                <c:pt idx="2">
                  <c:v>15.553486574000008</c:v>
                </c:pt>
                <c:pt idx="3">
                  <c:v>13.847121233999999</c:v>
                </c:pt>
                <c:pt idx="4">
                  <c:v>14.257234435000004</c:v>
                </c:pt>
                <c:pt idx="5">
                  <c:v>12.924686826000004</c:v>
                </c:pt>
                <c:pt idx="6">
                  <c:v>14.049213604999998</c:v>
                </c:pt>
                <c:pt idx="7">
                  <c:v>12.335157646000003</c:v>
                </c:pt>
                <c:pt idx="8">
                  <c:v>14.398674827000002</c:v>
                </c:pt>
                <c:pt idx="9">
                  <c:v>15.680936607000005</c:v>
                </c:pt>
                <c:pt idx="10">
                  <c:v>15.498081225</c:v>
                </c:pt>
                <c:pt idx="11">
                  <c:v>13.818572290000002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26D-4454-8E08-B9BE593BFA93}"/>
            </c:ext>
          </c:extLst>
        </c:ser>
        <c:ser>
          <c:idx val="1"/>
          <c:order val="1"/>
          <c:tx>
            <c:strRef>
              <c:f>Sayfa1!$R$7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0"/>
                  <c:y val="-1.8281535648994526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26D-4454-8E08-B9BE593BFA93}"/>
                </c:ext>
              </c:extLst>
            </c:dLbl>
            <c:dLbl>
              <c:idx val="1"/>
              <c:layout>
                <c:manualLayout>
                  <c:x val="0"/>
                  <c:y val="-1.8281535648994537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26D-4454-8E08-B9BE593BFA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tr-T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Sayfa1!$P$8:$P$19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Sayfa1!$R$8:$R$19</c:f>
              <c:numCache>
                <c:formatCode>0.0</c:formatCode>
                <c:ptCount val="12"/>
                <c:pt idx="0">
                  <c:v>13.190418612</c:v>
                </c:pt>
                <c:pt idx="1">
                  <c:v>13.592955853000003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26D-4454-8E08-B9BE593BFA93}"/>
            </c:ext>
          </c:extLst>
        </c:ser>
        <c:dLbls>
          <c:showVal val="1"/>
        </c:dLbls>
        <c:overlap val="-25"/>
        <c:axId val="88307584"/>
        <c:axId val="88559616"/>
      </c:barChart>
      <c:catAx>
        <c:axId val="88307584"/>
        <c:scaling>
          <c:orientation val="minMax"/>
        </c:scaling>
        <c:axPos val="b"/>
        <c:numFmt formatCode="General" sourceLinked="0"/>
        <c:majorTickMark val="none"/>
        <c:tickLblPos val="nextTo"/>
        <c:crossAx val="88559616"/>
        <c:crosses val="autoZero"/>
        <c:auto val="1"/>
        <c:lblAlgn val="ctr"/>
        <c:lblOffset val="100"/>
      </c:catAx>
      <c:valAx>
        <c:axId val="88559616"/>
        <c:scaling>
          <c:orientation val="minMax"/>
        </c:scaling>
        <c:delete val="1"/>
        <c:axPos val="l"/>
        <c:numFmt formatCode="0.0" sourceLinked="1"/>
        <c:tickLblPos val="nextTo"/>
        <c:crossAx val="88307584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Sayfa1!$Q$22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206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Sayfa1!$P$23:$P$34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Sayfa1!$Q$23:$Q$34</c:f>
              <c:numCache>
                <c:formatCode>0.0</c:formatCode>
                <c:ptCount val="12"/>
                <c:pt idx="0">
                  <c:v>21.522755288999992</c:v>
                </c:pt>
                <c:pt idx="1">
                  <c:v>18.937034438000001</c:v>
                </c:pt>
                <c:pt idx="2">
                  <c:v>21.434988004000008</c:v>
                </c:pt>
                <c:pt idx="3">
                  <c:v>20.556735967999991</c:v>
                </c:pt>
                <c:pt idx="4">
                  <c:v>22.066359561000002</c:v>
                </c:pt>
                <c:pt idx="5">
                  <c:v>18.449017182999988</c:v>
                </c:pt>
                <c:pt idx="6">
                  <c:v>20.057372587</c:v>
                </c:pt>
                <c:pt idx="7">
                  <c:v>14.803784658000007</c:v>
                </c:pt>
                <c:pt idx="8">
                  <c:v>16.325010646999992</c:v>
                </c:pt>
                <c:pt idx="9">
                  <c:v>16.174495038000007</c:v>
                </c:pt>
                <c:pt idx="10">
                  <c:v>16.164122985999988</c:v>
                </c:pt>
                <c:pt idx="11">
                  <c:v>16.554447276999991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9AF-4AD0-A40A-442A489687D7}"/>
            </c:ext>
          </c:extLst>
        </c:ser>
        <c:ser>
          <c:idx val="1"/>
          <c:order val="1"/>
          <c:tx>
            <c:strRef>
              <c:f>Sayfa1!$R$22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00000"/>
            </a:solidFill>
          </c:spPr>
          <c:dLbls>
            <c:dLbl>
              <c:idx val="0"/>
              <c:layout>
                <c:manualLayout>
                  <c:x val="4.3956043956043982E-3"/>
                  <c:y val="-2.0066901869033301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AF-4AD0-A40A-442A489687D7}"/>
                </c:ext>
              </c:extLst>
            </c:dLbl>
            <c:dLbl>
              <c:idx val="1"/>
              <c:layout>
                <c:manualLayout>
                  <c:x val="4.3956043956043982E-3"/>
                  <c:y val="-2.0066901869033301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AF-4AD0-A40A-442A489687D7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Sayfa1!$P$23:$P$34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Sayfa1!$R$23:$R$34</c:f>
              <c:numCache>
                <c:formatCode>0.0</c:formatCode>
                <c:ptCount val="12"/>
                <c:pt idx="0">
                  <c:v>15.671103391000001</c:v>
                </c:pt>
                <c:pt idx="1">
                  <c:v>15.727285860999999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9AF-4AD0-A40A-442A489687D7}"/>
            </c:ext>
          </c:extLst>
        </c:ser>
        <c:dLbls>
          <c:showVal val="1"/>
        </c:dLbls>
        <c:overlap val="-25"/>
        <c:axId val="88740608"/>
        <c:axId val="88742144"/>
      </c:barChart>
      <c:catAx>
        <c:axId val="88740608"/>
        <c:scaling>
          <c:orientation val="minMax"/>
        </c:scaling>
        <c:axPos val="b"/>
        <c:numFmt formatCode="General" sourceLinked="0"/>
        <c:majorTickMark val="none"/>
        <c:tickLblPos val="nextTo"/>
        <c:crossAx val="88742144"/>
        <c:crosses val="autoZero"/>
        <c:auto val="1"/>
        <c:lblAlgn val="ctr"/>
        <c:lblOffset val="100"/>
      </c:catAx>
      <c:valAx>
        <c:axId val="88742144"/>
        <c:scaling>
          <c:orientation val="minMax"/>
        </c:scaling>
        <c:delete val="1"/>
        <c:axPos val="l"/>
        <c:numFmt formatCode="0.0" sourceLinked="1"/>
        <c:tickLblPos val="nextTo"/>
        <c:crossAx val="88740608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60C069-8716-443A-BE9B-E38D375D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ZEN</dc:creator>
  <cp:lastModifiedBy>earic_000</cp:lastModifiedBy>
  <cp:revision>2</cp:revision>
  <dcterms:created xsi:type="dcterms:W3CDTF">2019-04-04T13:14:00Z</dcterms:created>
  <dcterms:modified xsi:type="dcterms:W3CDTF">2019-04-04T13:14:00Z</dcterms:modified>
</cp:coreProperties>
</file>